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0769B" w14:textId="77777777" w:rsidR="00703631" w:rsidRDefault="00775AAD">
      <w:pPr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Pr="00926544">
        <w:rPr>
          <w:rFonts w:cs="David"/>
          <w:noProof/>
          <w:rtl/>
        </w:rPr>
        <w:drawing>
          <wp:inline distT="0" distB="0" distL="0" distR="0">
            <wp:extent cx="1438275" cy="1104900"/>
            <wp:effectExtent l="0" t="0" r="9525" b="0"/>
            <wp:docPr id="1" name="תמונה 1" descr="הלוגו לנייר המכתבים (00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הלוגו לנייר המכתבים (002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2C9C2" w14:textId="77777777" w:rsidR="00775AAD" w:rsidRPr="00010B09" w:rsidRDefault="00010B09" w:rsidP="00010B09">
      <w:pPr>
        <w:spacing w:line="360" w:lineRule="auto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 xml:space="preserve">                                                                         </w:t>
      </w:r>
      <w:r w:rsidR="00E25073" w:rsidRPr="00010B09">
        <w:rPr>
          <w:rFonts w:cs="David" w:hint="cs"/>
          <w:b/>
          <w:bCs/>
          <w:rtl/>
        </w:rPr>
        <w:t xml:space="preserve">הודעה לציבור  </w:t>
      </w:r>
    </w:p>
    <w:p w14:paraId="6293132E" w14:textId="77777777" w:rsidR="00775AAD" w:rsidRPr="00010B09" w:rsidRDefault="00775AAD" w:rsidP="00235C73">
      <w:pPr>
        <w:spacing w:line="360" w:lineRule="auto"/>
        <w:rPr>
          <w:rFonts w:cs="David"/>
          <w:rtl/>
        </w:rPr>
      </w:pPr>
      <w:r w:rsidRPr="00010B09">
        <w:rPr>
          <w:rFonts w:cs="David" w:hint="cs"/>
          <w:rtl/>
        </w:rPr>
        <w:t xml:space="preserve">הננו מתכבדים להציג את טיוטת הצעת המועצה בדבר הטלת ארנונה כללית לשנת </w:t>
      </w:r>
      <w:r w:rsidR="00235C73">
        <w:rPr>
          <w:rFonts w:cs="David" w:hint="cs"/>
          <w:rtl/>
        </w:rPr>
        <w:t>20</w:t>
      </w:r>
      <w:r w:rsidR="00806686">
        <w:rPr>
          <w:rFonts w:cs="David" w:hint="cs"/>
          <w:rtl/>
        </w:rPr>
        <w:t>20</w:t>
      </w:r>
      <w:r w:rsidRPr="00010B09">
        <w:rPr>
          <w:rFonts w:cs="David" w:hint="cs"/>
          <w:rtl/>
        </w:rPr>
        <w:t xml:space="preserve">. </w:t>
      </w:r>
    </w:p>
    <w:p w14:paraId="3F53C7A5" w14:textId="77777777" w:rsidR="00775AAD" w:rsidRPr="00010B09" w:rsidRDefault="00775AAD" w:rsidP="00235C73">
      <w:pPr>
        <w:spacing w:line="360" w:lineRule="auto"/>
        <w:rPr>
          <w:rFonts w:cs="David"/>
          <w:rtl/>
        </w:rPr>
      </w:pPr>
      <w:r w:rsidRPr="00010B09">
        <w:rPr>
          <w:rFonts w:cs="David" w:hint="cs"/>
          <w:rtl/>
        </w:rPr>
        <w:t xml:space="preserve">ההצעה תובא לאישור מליאת המועצה בישיבתה </w:t>
      </w:r>
      <w:r w:rsidRPr="00FA1B79">
        <w:rPr>
          <w:rFonts w:cs="David" w:hint="cs"/>
          <w:rtl/>
        </w:rPr>
        <w:t>ביום</w:t>
      </w:r>
      <w:r w:rsidR="00806686" w:rsidRPr="00FA1B79">
        <w:rPr>
          <w:rFonts w:cs="David" w:hint="cs"/>
          <w:rtl/>
        </w:rPr>
        <w:t>30.6.19</w:t>
      </w:r>
      <w:r w:rsidRPr="00FA1B79">
        <w:rPr>
          <w:rFonts w:cs="David" w:hint="cs"/>
          <w:rtl/>
        </w:rPr>
        <w:t>.</w:t>
      </w:r>
    </w:p>
    <w:p w14:paraId="0C1EC90E" w14:textId="77777777" w:rsidR="00775AAD" w:rsidRPr="00010B09" w:rsidRDefault="00E25073" w:rsidP="00BA64E7">
      <w:pPr>
        <w:spacing w:line="360" w:lineRule="auto"/>
        <w:rPr>
          <w:rFonts w:cs="David"/>
          <w:rtl/>
        </w:rPr>
      </w:pPr>
      <w:r w:rsidRPr="00010B09">
        <w:rPr>
          <w:rFonts w:cs="David" w:hint="cs"/>
          <w:rtl/>
        </w:rPr>
        <w:t>להלן דברי הסבר להצעה המוגשת.</w:t>
      </w:r>
    </w:p>
    <w:p w14:paraId="1413D5D6" w14:textId="77777777" w:rsidR="00775AAD" w:rsidRPr="00010B09" w:rsidRDefault="00BA64E7" w:rsidP="00010B09">
      <w:pPr>
        <w:spacing w:line="360" w:lineRule="auto"/>
        <w:rPr>
          <w:rFonts w:cs="David"/>
          <w:rtl/>
        </w:rPr>
      </w:pPr>
      <w:r>
        <w:rPr>
          <w:rFonts w:cs="David" w:hint="cs"/>
          <w:b/>
          <w:bCs/>
          <w:rtl/>
        </w:rPr>
        <w:t>1</w:t>
      </w:r>
      <w:r w:rsidR="00775AAD" w:rsidRPr="00010B09">
        <w:rPr>
          <w:rFonts w:cs="David" w:hint="cs"/>
          <w:b/>
          <w:bCs/>
          <w:rtl/>
        </w:rPr>
        <w:t>.</w:t>
      </w:r>
      <w:r w:rsidR="00215FB9" w:rsidRPr="00010B09">
        <w:rPr>
          <w:rFonts w:cs="David" w:hint="cs"/>
          <w:b/>
          <w:bCs/>
          <w:rtl/>
        </w:rPr>
        <w:t xml:space="preserve">סיווגים לגביהם בקשה המועצה בקשה  להעלאה חריגה - </w:t>
      </w:r>
      <w:r w:rsidR="00775AAD" w:rsidRPr="00010B09">
        <w:rPr>
          <w:rFonts w:cs="David" w:hint="cs"/>
          <w:rtl/>
        </w:rPr>
        <w:t>במספר סעיפים , בכפוף להחלטת מליאת המועצה אנו מבקשים העלאה שמעבר לשיעור העדכון שנקבע</w:t>
      </w:r>
      <w:r w:rsidR="00C10B4A" w:rsidRPr="00010B09">
        <w:rPr>
          <w:rFonts w:cs="David" w:hint="cs"/>
          <w:rtl/>
        </w:rPr>
        <w:t xml:space="preserve"> בדין . הסעיפים מפורטים בטבלה  המצורפת. יודגש שכל העלאה שמעבר לשיעור העדכון האוטומטי  תכנס לתוקפה רק אם תאושר על ידי משרד הפנים, על כן </w:t>
      </w:r>
      <w:r w:rsidR="00F86EFE" w:rsidRPr="00010B09">
        <w:rPr>
          <w:rFonts w:cs="David" w:hint="cs"/>
          <w:rtl/>
        </w:rPr>
        <w:t xml:space="preserve">בהחלטת המועצה </w:t>
      </w:r>
      <w:r w:rsidR="00C10B4A" w:rsidRPr="00010B09">
        <w:rPr>
          <w:rFonts w:cs="David" w:hint="cs"/>
          <w:rtl/>
        </w:rPr>
        <w:t>מופיעים שני תעריפים, האחד לפי שיעור העדכון האוטומטי, והשני התעריף המבוקש.</w:t>
      </w:r>
    </w:p>
    <w:p w14:paraId="57FF2B9D" w14:textId="77777777" w:rsidR="00FA1B79" w:rsidRPr="00FA1B79" w:rsidRDefault="00775AAD" w:rsidP="00235C73">
      <w:pPr>
        <w:spacing w:line="360" w:lineRule="auto"/>
        <w:rPr>
          <w:rFonts w:cs="David"/>
          <w:b/>
          <w:bCs/>
          <w:u w:val="single"/>
          <w:rtl/>
        </w:rPr>
      </w:pPr>
      <w:r w:rsidRPr="00FA1B79">
        <w:rPr>
          <w:rFonts w:cs="David" w:hint="cs"/>
          <w:b/>
          <w:bCs/>
          <w:rtl/>
        </w:rPr>
        <w:t xml:space="preserve">2.1 </w:t>
      </w:r>
      <w:r w:rsidR="00FA1B79" w:rsidRPr="00FA1B79">
        <w:rPr>
          <w:rFonts w:cs="David" w:hint="cs"/>
          <w:b/>
          <w:bCs/>
          <w:u w:val="single"/>
          <w:rtl/>
        </w:rPr>
        <w:t xml:space="preserve">העלאות ארנונה למגורים </w:t>
      </w:r>
    </w:p>
    <w:p w14:paraId="7338FAB4" w14:textId="77777777" w:rsidR="00775AAD" w:rsidRPr="00FA1B79" w:rsidRDefault="00FA1B79" w:rsidP="00FA1B79">
      <w:pPr>
        <w:pStyle w:val="a5"/>
        <w:numPr>
          <w:ilvl w:val="0"/>
          <w:numId w:val="1"/>
        </w:numPr>
        <w:spacing w:line="360" w:lineRule="auto"/>
        <w:rPr>
          <w:rFonts w:cs="David"/>
          <w:rtl/>
        </w:rPr>
      </w:pPr>
      <w:r w:rsidRPr="00FA1B79">
        <w:rPr>
          <w:rFonts w:cs="David" w:hint="cs"/>
          <w:u w:val="single"/>
          <w:rtl/>
        </w:rPr>
        <w:t xml:space="preserve">סיווג 117 </w:t>
      </w:r>
      <w:r w:rsidRPr="00FA1B79">
        <w:rPr>
          <w:rFonts w:cs="David"/>
          <w:u w:val="single"/>
          <w:rtl/>
        </w:rPr>
        <w:t>–</w:t>
      </w:r>
      <w:r w:rsidRPr="00FA1B79">
        <w:rPr>
          <w:rFonts w:cs="David" w:hint="cs"/>
          <w:u w:val="single"/>
          <w:rtl/>
        </w:rPr>
        <w:t xml:space="preserve">מבנה  מגורים במושב יכיני </w:t>
      </w:r>
      <w:r w:rsidR="00775AAD" w:rsidRPr="00FA1B79">
        <w:rPr>
          <w:rFonts w:cs="David" w:hint="cs"/>
          <w:rtl/>
        </w:rPr>
        <w:t xml:space="preserve"> </w:t>
      </w:r>
      <w:r w:rsidRPr="00FA1B79">
        <w:rPr>
          <w:rFonts w:cs="David" w:hint="cs"/>
          <w:rtl/>
        </w:rPr>
        <w:t>-</w:t>
      </w:r>
      <w:r w:rsidR="00775AAD" w:rsidRPr="00FA1B79">
        <w:rPr>
          <w:rFonts w:cs="David" w:hint="cs"/>
          <w:rtl/>
        </w:rPr>
        <w:t xml:space="preserve"> יצוין שתעריף הארנונה למגורים </w:t>
      </w:r>
      <w:proofErr w:type="spellStart"/>
      <w:r w:rsidR="00775AAD" w:rsidRPr="00FA1B79">
        <w:rPr>
          <w:rFonts w:cs="David" w:hint="cs"/>
          <w:rtl/>
        </w:rPr>
        <w:t>ביכיני</w:t>
      </w:r>
      <w:proofErr w:type="spellEnd"/>
      <w:r w:rsidR="00775AAD" w:rsidRPr="00FA1B79">
        <w:rPr>
          <w:rFonts w:cs="David" w:hint="cs"/>
          <w:rtl/>
        </w:rPr>
        <w:t xml:space="preserve">  בשנת </w:t>
      </w:r>
      <w:r w:rsidR="00235C73" w:rsidRPr="00FA1B79">
        <w:rPr>
          <w:rFonts w:cs="David" w:hint="cs"/>
          <w:rtl/>
        </w:rPr>
        <w:t xml:space="preserve"> </w:t>
      </w:r>
      <w:r w:rsidR="00475BBD" w:rsidRPr="00FA1B79">
        <w:rPr>
          <w:rFonts w:cs="David" w:hint="cs"/>
          <w:rtl/>
        </w:rPr>
        <w:t>2019</w:t>
      </w:r>
      <w:r w:rsidR="00775AAD" w:rsidRPr="00FA1B79">
        <w:rPr>
          <w:rFonts w:cs="David" w:hint="cs"/>
          <w:rtl/>
        </w:rPr>
        <w:t xml:space="preserve"> היה , </w:t>
      </w:r>
      <w:r w:rsidR="00475BBD" w:rsidRPr="00FA1B79">
        <w:rPr>
          <w:rFonts w:cs="David" w:hint="cs"/>
          <w:rtl/>
        </w:rPr>
        <w:t xml:space="preserve">36.62 ₪ </w:t>
      </w:r>
      <w:r w:rsidR="00775AAD" w:rsidRPr="00FA1B79">
        <w:rPr>
          <w:rFonts w:cs="David" w:hint="cs"/>
          <w:rtl/>
        </w:rPr>
        <w:t>, לעומת התעריף בשאר יישובי המועצה שהוא</w:t>
      </w:r>
      <w:r w:rsidR="00475BBD" w:rsidRPr="00FA1B79">
        <w:rPr>
          <w:rFonts w:cs="David" w:hint="cs"/>
          <w:rtl/>
        </w:rPr>
        <w:t xml:space="preserve"> 40.99 </w:t>
      </w:r>
      <w:r w:rsidR="00775AAD" w:rsidRPr="00FA1B79">
        <w:rPr>
          <w:rFonts w:cs="David" w:hint="cs"/>
          <w:rtl/>
        </w:rPr>
        <w:t xml:space="preserve">. </w:t>
      </w:r>
    </w:p>
    <w:p w14:paraId="6BF6AEF8" w14:textId="77777777" w:rsidR="00FA1B79" w:rsidRPr="00FA1B79" w:rsidRDefault="00FA1B79" w:rsidP="00FA1B79">
      <w:pPr>
        <w:pStyle w:val="a5"/>
        <w:numPr>
          <w:ilvl w:val="0"/>
          <w:numId w:val="1"/>
        </w:numPr>
        <w:spacing w:line="360" w:lineRule="auto"/>
        <w:rPr>
          <w:rFonts w:cs="David"/>
          <w:rtl/>
        </w:rPr>
      </w:pPr>
      <w:r w:rsidRPr="00FA1B79">
        <w:rPr>
          <w:rFonts w:cs="David" w:hint="cs"/>
          <w:u w:val="single"/>
          <w:rtl/>
        </w:rPr>
        <w:t xml:space="preserve">סיווג 237 </w:t>
      </w:r>
      <w:r w:rsidRPr="00FA1B79">
        <w:rPr>
          <w:rFonts w:cs="David"/>
          <w:u w:val="single"/>
          <w:rtl/>
        </w:rPr>
        <w:t>–</w:t>
      </w:r>
      <w:r w:rsidRPr="00FA1B79">
        <w:rPr>
          <w:rFonts w:cs="David" w:hint="cs"/>
          <w:u w:val="single"/>
          <w:rtl/>
        </w:rPr>
        <w:t xml:space="preserve"> מעונות סטודנטים-</w:t>
      </w:r>
      <w:r w:rsidRPr="00FA1B79">
        <w:rPr>
          <w:rFonts w:cs="David" w:hint="cs"/>
          <w:rtl/>
        </w:rPr>
        <w:t xml:space="preserve"> התעריף למעונות סטודנטים נמוך מתעריף המגורים בשאר יישובי המועצה</w:t>
      </w:r>
      <w:r w:rsidR="00867E77">
        <w:rPr>
          <w:rFonts w:cs="David" w:hint="cs"/>
          <w:rtl/>
        </w:rPr>
        <w:t xml:space="preserve">. </w:t>
      </w:r>
    </w:p>
    <w:p w14:paraId="71A3495E" w14:textId="77777777" w:rsidR="00FA1B79" w:rsidRPr="00806686" w:rsidRDefault="00FA1B79" w:rsidP="00FA1B79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נכון להיום אין נישומים המחויבים בסיווג זה , אך המועצה מבקשת לתקן העיוות הקיים בצו , ולהשוואת תעריף זה לתעריפי המגורים האחרים ברשות .</w:t>
      </w:r>
    </w:p>
    <w:p w14:paraId="20427CEF" w14:textId="77777777" w:rsidR="00775AAD" w:rsidRPr="00010B09" w:rsidRDefault="00775AAD" w:rsidP="00010B09">
      <w:pPr>
        <w:spacing w:line="360" w:lineRule="auto"/>
        <w:rPr>
          <w:rFonts w:cs="David"/>
          <w:rtl/>
        </w:rPr>
      </w:pPr>
      <w:r w:rsidRPr="00010B09">
        <w:rPr>
          <w:rFonts w:cs="David" w:hint="cs"/>
          <w:rtl/>
        </w:rPr>
        <w:t xml:space="preserve">קיימת החלטת </w:t>
      </w:r>
      <w:r w:rsidR="00C10B4A" w:rsidRPr="00010B09">
        <w:rPr>
          <w:rFonts w:cs="David" w:hint="cs"/>
          <w:rtl/>
        </w:rPr>
        <w:t xml:space="preserve">מועצה להשוואת תעריפים </w:t>
      </w:r>
      <w:r w:rsidR="00FA1B79">
        <w:rPr>
          <w:rFonts w:cs="David" w:hint="cs"/>
          <w:rtl/>
        </w:rPr>
        <w:t xml:space="preserve">לנכסים המשמשים למגורים </w:t>
      </w:r>
      <w:r w:rsidR="00C10B4A" w:rsidRPr="00010B09">
        <w:rPr>
          <w:rFonts w:cs="David" w:hint="cs"/>
          <w:rtl/>
        </w:rPr>
        <w:t xml:space="preserve"> , ההצעה מדברת על העלאה של </w:t>
      </w:r>
      <w:r w:rsidR="00806686">
        <w:rPr>
          <w:rFonts w:cs="David" w:hint="cs"/>
          <w:rtl/>
        </w:rPr>
        <w:t xml:space="preserve">7.19% </w:t>
      </w:r>
      <w:r w:rsidR="00C10B4A" w:rsidRPr="00010B09">
        <w:rPr>
          <w:rFonts w:cs="David" w:hint="cs"/>
          <w:rtl/>
        </w:rPr>
        <w:t xml:space="preserve"> (כולל העדכון האוטומטי).</w:t>
      </w:r>
    </w:p>
    <w:p w14:paraId="31BF91F3" w14:textId="77777777" w:rsidR="00215FB9" w:rsidRPr="00FA1B79" w:rsidRDefault="00775AAD" w:rsidP="00207A0D">
      <w:pPr>
        <w:spacing w:line="360" w:lineRule="auto"/>
        <w:rPr>
          <w:rFonts w:cs="David"/>
          <w:b/>
          <w:bCs/>
          <w:u w:val="single"/>
          <w:rtl/>
        </w:rPr>
      </w:pPr>
      <w:r w:rsidRPr="00FA1B79">
        <w:rPr>
          <w:rFonts w:cs="David" w:hint="cs"/>
          <w:b/>
          <w:bCs/>
          <w:rtl/>
        </w:rPr>
        <w:t xml:space="preserve">2.2 </w:t>
      </w:r>
      <w:r w:rsidR="00207A0D" w:rsidRPr="00FA1B79">
        <w:rPr>
          <w:rFonts w:cs="David" w:hint="cs"/>
          <w:b/>
          <w:bCs/>
          <w:u w:val="single"/>
          <w:rtl/>
        </w:rPr>
        <w:t xml:space="preserve">לעניין שינוי נוספים  בצו המיסים </w:t>
      </w:r>
    </w:p>
    <w:p w14:paraId="1D4EE8CD" w14:textId="77777777" w:rsidR="00E11861" w:rsidRPr="00FA1B79" w:rsidRDefault="00E11861" w:rsidP="00FA1B79">
      <w:pPr>
        <w:pStyle w:val="a5"/>
        <w:numPr>
          <w:ilvl w:val="0"/>
          <w:numId w:val="2"/>
        </w:numPr>
        <w:spacing w:line="340" w:lineRule="atLeast"/>
        <w:rPr>
          <w:rFonts w:cs="David"/>
          <w:color w:val="000000" w:themeColor="text1"/>
          <w:rtl/>
        </w:rPr>
      </w:pPr>
      <w:r w:rsidRPr="00FA1B79">
        <w:rPr>
          <w:rFonts w:cs="David" w:hint="cs"/>
          <w:u w:val="single"/>
          <w:rtl/>
        </w:rPr>
        <w:t xml:space="preserve">סיווג 208 </w:t>
      </w:r>
      <w:r w:rsidRPr="00FA1B79">
        <w:rPr>
          <w:rFonts w:cs="David" w:hint="cs"/>
          <w:color w:val="000000" w:themeColor="text1"/>
          <w:u w:val="single"/>
          <w:rtl/>
        </w:rPr>
        <w:t>-</w:t>
      </w:r>
      <w:r w:rsidRPr="00FA1B79">
        <w:rPr>
          <w:rFonts w:cs="David"/>
          <w:color w:val="000000" w:themeColor="text1"/>
          <w:rtl/>
        </w:rPr>
        <w:t xml:space="preserve"> בניני תעשיה, עיבוד חקלאי משני, מלאכה (למעט מוסכים), אריזת פרי ו/או</w:t>
      </w:r>
      <w:r w:rsidRPr="00FA1B79">
        <w:rPr>
          <w:rFonts w:cs="David" w:hint="cs"/>
          <w:color w:val="000000" w:themeColor="text1"/>
          <w:rtl/>
        </w:rPr>
        <w:t xml:space="preserve"> </w:t>
      </w:r>
      <w:r w:rsidRPr="00FA1B79">
        <w:rPr>
          <w:rFonts w:cs="David"/>
          <w:color w:val="000000" w:themeColor="text1"/>
          <w:rtl/>
        </w:rPr>
        <w:t>מיונו,</w:t>
      </w:r>
    </w:p>
    <w:p w14:paraId="7745CBEC" w14:textId="77777777" w:rsidR="00E11861" w:rsidRPr="006C5440" w:rsidRDefault="00E11861" w:rsidP="00FA1B79">
      <w:pPr>
        <w:spacing w:line="340" w:lineRule="atLeast"/>
        <w:ind w:firstLine="720"/>
        <w:rPr>
          <w:rFonts w:cs="David"/>
          <w:color w:val="000000" w:themeColor="text1"/>
          <w:rtl/>
        </w:rPr>
      </w:pPr>
      <w:r w:rsidRPr="006C5440">
        <w:rPr>
          <w:rFonts w:cs="David"/>
          <w:color w:val="000000" w:themeColor="text1"/>
          <w:rtl/>
        </w:rPr>
        <w:t xml:space="preserve"> מנפטה, מדגרה, משחטה, לרבות מדגרה, לרבות סככות</w:t>
      </w:r>
      <w:r w:rsidRPr="006C5440">
        <w:rPr>
          <w:rFonts w:cs="David" w:hint="cs"/>
          <w:color w:val="000000" w:themeColor="text1"/>
          <w:rtl/>
        </w:rPr>
        <w:t xml:space="preserve"> </w:t>
      </w:r>
      <w:r w:rsidRPr="006C5440">
        <w:rPr>
          <w:rFonts w:cs="David"/>
          <w:color w:val="000000" w:themeColor="text1"/>
          <w:rtl/>
        </w:rPr>
        <w:t>המשמשות לאחת ממטרות אלו,</w:t>
      </w:r>
    </w:p>
    <w:p w14:paraId="4BAD1991" w14:textId="77777777" w:rsidR="00E11861" w:rsidRPr="006C5440" w:rsidRDefault="00E11861" w:rsidP="00E11861">
      <w:pPr>
        <w:spacing w:line="360" w:lineRule="auto"/>
        <w:rPr>
          <w:rFonts w:cs="David"/>
          <w:color w:val="000000" w:themeColor="text1"/>
          <w:rtl/>
        </w:rPr>
      </w:pPr>
      <w:r w:rsidRPr="006C5440">
        <w:rPr>
          <w:rFonts w:cs="David"/>
          <w:color w:val="000000" w:themeColor="text1"/>
          <w:rtl/>
        </w:rPr>
        <w:t xml:space="preserve"> </w:t>
      </w:r>
      <w:r w:rsidR="00FA1B79">
        <w:rPr>
          <w:rFonts w:cs="David"/>
          <w:color w:val="000000" w:themeColor="text1"/>
          <w:rtl/>
        </w:rPr>
        <w:tab/>
      </w:r>
      <w:r w:rsidRPr="006C5440">
        <w:rPr>
          <w:rFonts w:cs="David"/>
          <w:color w:val="000000" w:themeColor="text1"/>
          <w:rtl/>
        </w:rPr>
        <w:t>למעט באזורי תעשיה חדשים –</w:t>
      </w:r>
      <w:r w:rsidRPr="006C5440">
        <w:rPr>
          <w:rFonts w:cs="David" w:hint="cs"/>
          <w:color w:val="000000" w:themeColor="text1"/>
          <w:rtl/>
        </w:rPr>
        <w:t xml:space="preserve"> העלאה בשיעור של  </w:t>
      </w:r>
      <w:r w:rsidR="00475BBD">
        <w:rPr>
          <w:rFonts w:cs="David" w:hint="cs"/>
          <w:color w:val="000000" w:themeColor="text1"/>
          <w:rtl/>
        </w:rPr>
        <w:t>7.1</w:t>
      </w:r>
      <w:r w:rsidR="00806686">
        <w:rPr>
          <w:rFonts w:cs="David" w:hint="cs"/>
          <w:color w:val="000000" w:themeColor="text1"/>
          <w:rtl/>
        </w:rPr>
        <w:t>7</w:t>
      </w:r>
      <w:r w:rsidR="00475BBD">
        <w:rPr>
          <w:rFonts w:cs="David" w:hint="cs"/>
          <w:color w:val="000000" w:themeColor="text1"/>
          <w:rtl/>
        </w:rPr>
        <w:t xml:space="preserve">% </w:t>
      </w:r>
      <w:r w:rsidRPr="006C5440">
        <w:rPr>
          <w:rFonts w:cs="David" w:hint="cs"/>
          <w:color w:val="000000" w:themeColor="text1"/>
          <w:rtl/>
        </w:rPr>
        <w:t xml:space="preserve"> </w:t>
      </w:r>
    </w:p>
    <w:p w14:paraId="4ABA9AD4" w14:textId="77777777" w:rsidR="00E11861" w:rsidRDefault="00207A0D" w:rsidP="00FA1B79">
      <w:pPr>
        <w:pStyle w:val="a5"/>
        <w:numPr>
          <w:ilvl w:val="0"/>
          <w:numId w:val="2"/>
        </w:numPr>
        <w:spacing w:line="340" w:lineRule="atLeast"/>
        <w:rPr>
          <w:rFonts w:cs="David"/>
        </w:rPr>
      </w:pPr>
      <w:r w:rsidRPr="00FA1B79">
        <w:rPr>
          <w:rFonts w:cs="David" w:hint="cs"/>
          <w:u w:val="single"/>
          <w:rtl/>
        </w:rPr>
        <w:t xml:space="preserve">סיווג 224 </w:t>
      </w:r>
      <w:r w:rsidRPr="00FA1B79">
        <w:rPr>
          <w:rFonts w:cs="David"/>
          <w:u w:val="single"/>
          <w:rtl/>
        </w:rPr>
        <w:t>–</w:t>
      </w:r>
      <w:r w:rsidRPr="00FA1B79">
        <w:rPr>
          <w:rFonts w:cs="David" w:hint="cs"/>
          <w:rtl/>
        </w:rPr>
        <w:t xml:space="preserve"> </w:t>
      </w:r>
      <w:r w:rsidR="00E11861" w:rsidRPr="00FA1B79">
        <w:rPr>
          <w:rFonts w:cs="David" w:hint="cs"/>
          <w:rtl/>
        </w:rPr>
        <w:t>מבנים המשמשים לאחסנה בלבד</w:t>
      </w:r>
      <w:r w:rsidR="00E11861" w:rsidRPr="00FA1B79">
        <w:rPr>
          <w:rFonts w:cs="David"/>
          <w:rtl/>
        </w:rPr>
        <w:t>, לרבות ממגורות, מחסני ערובה וסככות המשמשות</w:t>
      </w:r>
      <w:r w:rsidR="00E11861" w:rsidRPr="00FA1B79">
        <w:rPr>
          <w:rFonts w:cs="David" w:hint="cs"/>
          <w:rtl/>
        </w:rPr>
        <w:t xml:space="preserve"> </w:t>
      </w:r>
      <w:r w:rsidR="00E11861" w:rsidRPr="00FA1B79">
        <w:rPr>
          <w:rFonts w:cs="David"/>
          <w:rtl/>
        </w:rPr>
        <w:t>לאחסון</w:t>
      </w:r>
      <w:r w:rsidR="00E11861" w:rsidRPr="00FA1B79">
        <w:rPr>
          <w:rFonts w:cs="David" w:hint="cs"/>
          <w:rtl/>
        </w:rPr>
        <w:t xml:space="preserve"> למעט מחסנים הנלווים למבנים שנעשים בהם שימושים אחרים </w:t>
      </w:r>
      <w:r w:rsidR="00E11861" w:rsidRPr="00FA1B79">
        <w:rPr>
          <w:rFonts w:cs="David"/>
          <w:rtl/>
        </w:rPr>
        <w:t>–</w:t>
      </w:r>
      <w:r w:rsidR="00E11861" w:rsidRPr="00FA1B79">
        <w:rPr>
          <w:rFonts w:cs="David" w:hint="cs"/>
          <w:rtl/>
        </w:rPr>
        <w:t xml:space="preserve"> העלאה בשיעור של </w:t>
      </w:r>
      <w:r w:rsidR="00475BBD" w:rsidRPr="00FA1B79">
        <w:rPr>
          <w:rFonts w:cs="David" w:hint="cs"/>
          <w:rtl/>
        </w:rPr>
        <w:t>7.16%</w:t>
      </w:r>
      <w:r w:rsidR="00E11861" w:rsidRPr="00FA1B79">
        <w:rPr>
          <w:rFonts w:cs="David" w:hint="cs"/>
          <w:rtl/>
        </w:rPr>
        <w:t xml:space="preserve"> </w:t>
      </w:r>
    </w:p>
    <w:p w14:paraId="73D297F8" w14:textId="77777777" w:rsidR="00FA1B79" w:rsidRPr="00FA1B79" w:rsidRDefault="00FA1B79" w:rsidP="00FA1B79">
      <w:pPr>
        <w:pStyle w:val="a5"/>
        <w:numPr>
          <w:ilvl w:val="0"/>
          <w:numId w:val="2"/>
        </w:numPr>
        <w:spacing w:line="340" w:lineRule="atLeast"/>
        <w:rPr>
          <w:rFonts w:cs="David"/>
          <w:rtl/>
        </w:rPr>
      </w:pPr>
      <w:r>
        <w:rPr>
          <w:rFonts w:cs="David" w:hint="cs"/>
          <w:u w:val="single"/>
          <w:rtl/>
        </w:rPr>
        <w:t>סיווג 230 -</w:t>
      </w:r>
      <w:r w:rsidRPr="00FA1B79">
        <w:rPr>
          <w:rFonts w:cs="David" w:hint="cs"/>
          <w:rtl/>
        </w:rPr>
        <w:t>בנינים של מדינת ישראל ורשו</w:t>
      </w:r>
      <w:r>
        <w:rPr>
          <w:rFonts w:cs="David" w:hint="cs"/>
          <w:rtl/>
        </w:rPr>
        <w:t>יו</w:t>
      </w:r>
      <w:r w:rsidRPr="00FA1B79">
        <w:rPr>
          <w:rFonts w:cs="David" w:hint="cs"/>
          <w:rtl/>
        </w:rPr>
        <w:t>תיה , לרבות צה"ל ומשטרת ישראל .</w:t>
      </w:r>
      <w:r>
        <w:rPr>
          <w:rFonts w:cs="David" w:hint="cs"/>
          <w:rtl/>
        </w:rPr>
        <w:t xml:space="preserve">הגדרה זו אינה עולה בקנה אחד עם הוראות הדין , לאור העובדה שהיא מתייחסת למהות המחזיק ולא למהות השימוש , לפיכך מבקשת המועצה להשמיט סיווג זה מצו המיסים </w:t>
      </w:r>
    </w:p>
    <w:p w14:paraId="711D06F1" w14:textId="77777777" w:rsidR="00207A0D" w:rsidRPr="006C5440" w:rsidRDefault="00E11861" w:rsidP="00806686">
      <w:pPr>
        <w:spacing w:line="340" w:lineRule="atLeast"/>
        <w:rPr>
          <w:rFonts w:cs="David"/>
          <w:rtl/>
        </w:rPr>
      </w:pPr>
      <w:r w:rsidRPr="006C5440">
        <w:rPr>
          <w:rFonts w:cs="David" w:hint="cs"/>
          <w:rtl/>
        </w:rPr>
        <w:t xml:space="preserve"> </w:t>
      </w:r>
    </w:p>
    <w:p w14:paraId="01A04384" w14:textId="77777777" w:rsidR="00207A0D" w:rsidRPr="00FA1B79" w:rsidRDefault="00207A0D" w:rsidP="00FA1B79">
      <w:pPr>
        <w:pStyle w:val="a5"/>
        <w:numPr>
          <w:ilvl w:val="0"/>
          <w:numId w:val="2"/>
        </w:numPr>
        <w:spacing w:line="360" w:lineRule="auto"/>
        <w:rPr>
          <w:rFonts w:cs="David"/>
          <w:rtl/>
        </w:rPr>
      </w:pPr>
      <w:r w:rsidRPr="00FA1B79">
        <w:rPr>
          <w:rFonts w:cs="David" w:hint="cs"/>
          <w:u w:val="single"/>
          <w:rtl/>
        </w:rPr>
        <w:t xml:space="preserve">סיווג 234 </w:t>
      </w:r>
      <w:r w:rsidRPr="00FA1B79">
        <w:rPr>
          <w:rFonts w:cs="David"/>
          <w:rtl/>
        </w:rPr>
        <w:t>–</w:t>
      </w:r>
      <w:r w:rsidRPr="00FA1B79">
        <w:rPr>
          <w:rFonts w:cs="David" w:hint="cs"/>
          <w:rtl/>
        </w:rPr>
        <w:t>בניני תעשיה , ע</w:t>
      </w:r>
      <w:r w:rsidR="00932F50" w:rsidRPr="00FA1B79">
        <w:rPr>
          <w:rFonts w:cs="David" w:hint="cs"/>
          <w:rtl/>
        </w:rPr>
        <w:t>י</w:t>
      </w:r>
      <w:r w:rsidRPr="00FA1B79">
        <w:rPr>
          <w:rFonts w:cs="David" w:hint="cs"/>
          <w:rtl/>
        </w:rPr>
        <w:t xml:space="preserve">בוד חקלאי משני , מלאכה (למעט מוסכים ) , אריזת פרי / או מיונו , מנפטה , מדגרה, משחטה, לרבות סככות המשמשות לאחת ממטרות אלו , באזור תעשייה ספירים </w:t>
      </w:r>
      <w:r w:rsidR="00806686" w:rsidRPr="00FA1B79">
        <w:rPr>
          <w:rFonts w:cs="David" w:hint="cs"/>
          <w:rtl/>
        </w:rPr>
        <w:t xml:space="preserve"> א בגוש 979 בחלקות 32,35,36,46,47,48 </w:t>
      </w:r>
      <w:r w:rsidR="00932F50" w:rsidRPr="00FA1B79">
        <w:rPr>
          <w:rFonts w:cs="David" w:hint="cs"/>
          <w:rtl/>
        </w:rPr>
        <w:t>-  ההעלאה ב7.</w:t>
      </w:r>
      <w:r w:rsidR="00475BBD" w:rsidRPr="00FA1B79">
        <w:rPr>
          <w:rFonts w:cs="David" w:hint="cs"/>
          <w:rtl/>
        </w:rPr>
        <w:t>16</w:t>
      </w:r>
      <w:r w:rsidR="00932F50" w:rsidRPr="00FA1B79">
        <w:rPr>
          <w:rFonts w:cs="David" w:hint="cs"/>
          <w:rtl/>
        </w:rPr>
        <w:t>% .</w:t>
      </w:r>
      <w:r w:rsidR="00806686" w:rsidRPr="00FA1B79">
        <w:rPr>
          <w:rFonts w:cs="David" w:hint="cs"/>
          <w:rtl/>
        </w:rPr>
        <w:t xml:space="preserve">וכן דיוק הגדרת הסיווג </w:t>
      </w:r>
      <w:r w:rsidR="00932F50" w:rsidRPr="00FA1B79">
        <w:rPr>
          <w:rFonts w:cs="David" w:hint="cs"/>
          <w:rtl/>
        </w:rPr>
        <w:t xml:space="preserve"> </w:t>
      </w:r>
      <w:r w:rsidR="00806686" w:rsidRPr="00FA1B79">
        <w:rPr>
          <w:rFonts w:cs="David" w:hint="cs"/>
          <w:rtl/>
        </w:rPr>
        <w:t>.</w:t>
      </w:r>
    </w:p>
    <w:p w14:paraId="7C4ACB15" w14:textId="77777777" w:rsidR="00C10B4A" w:rsidRPr="00010B09" w:rsidRDefault="00C10B4A" w:rsidP="00010B09">
      <w:pPr>
        <w:spacing w:line="360" w:lineRule="auto"/>
        <w:rPr>
          <w:rFonts w:cs="David"/>
          <w:rtl/>
        </w:rPr>
      </w:pPr>
      <w:r w:rsidRPr="00010B09">
        <w:rPr>
          <w:rFonts w:cs="David" w:hint="cs"/>
          <w:rtl/>
        </w:rPr>
        <w:t xml:space="preserve">פירוט הסיווגים והתעריפים מופיע </w:t>
      </w:r>
      <w:r w:rsidR="00F86EFE" w:rsidRPr="00010B09">
        <w:rPr>
          <w:rFonts w:cs="David" w:hint="cs"/>
          <w:rtl/>
        </w:rPr>
        <w:t>בהחלטה המצורפת</w:t>
      </w:r>
      <w:r w:rsidRPr="00010B09">
        <w:rPr>
          <w:rFonts w:cs="David" w:hint="cs"/>
          <w:rtl/>
        </w:rPr>
        <w:t>.</w:t>
      </w:r>
    </w:p>
    <w:p w14:paraId="5C5DE44E" w14:textId="77777777" w:rsidR="00010B09" w:rsidRPr="00010B09" w:rsidRDefault="00010B09" w:rsidP="00010B09">
      <w:pPr>
        <w:spacing w:line="360" w:lineRule="auto"/>
        <w:ind w:left="5040" w:firstLine="720"/>
        <w:rPr>
          <w:rFonts w:cs="David"/>
          <w:b/>
          <w:bCs/>
          <w:rtl/>
        </w:rPr>
      </w:pPr>
    </w:p>
    <w:p w14:paraId="190C7D7F" w14:textId="77777777" w:rsidR="00E25073" w:rsidRPr="00010B09" w:rsidRDefault="00E25073" w:rsidP="00010B09">
      <w:pPr>
        <w:spacing w:line="240" w:lineRule="auto"/>
        <w:ind w:left="5760" w:firstLine="720"/>
        <w:rPr>
          <w:rFonts w:cs="David"/>
          <w:b/>
          <w:bCs/>
          <w:rtl/>
        </w:rPr>
      </w:pPr>
      <w:r w:rsidRPr="00010B09">
        <w:rPr>
          <w:rFonts w:cs="David" w:hint="cs"/>
          <w:b/>
          <w:bCs/>
          <w:rtl/>
        </w:rPr>
        <w:t>שמעון קרן צבי</w:t>
      </w:r>
    </w:p>
    <w:p w14:paraId="0F373FF7" w14:textId="77777777" w:rsidR="00775AAD" w:rsidRPr="00010B09" w:rsidRDefault="00E25073" w:rsidP="00010B09">
      <w:pPr>
        <w:spacing w:line="240" w:lineRule="auto"/>
        <w:ind w:left="5040" w:firstLine="720"/>
        <w:rPr>
          <w:rFonts w:cs="David"/>
          <w:b/>
          <w:bCs/>
          <w:sz w:val="24"/>
          <w:szCs w:val="24"/>
        </w:rPr>
      </w:pPr>
      <w:r w:rsidRPr="00010B09">
        <w:rPr>
          <w:rFonts w:cs="David" w:hint="cs"/>
          <w:b/>
          <w:bCs/>
          <w:rtl/>
        </w:rPr>
        <w:t>גזבר המועצה ומנהל הארנונה</w:t>
      </w:r>
    </w:p>
    <w:sectPr w:rsidR="00775AAD" w:rsidRPr="00010B09" w:rsidSect="00C55CB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D2758"/>
    <w:multiLevelType w:val="hybridMultilevel"/>
    <w:tmpl w:val="304C5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957BC"/>
    <w:multiLevelType w:val="hybridMultilevel"/>
    <w:tmpl w:val="F224E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AAD"/>
    <w:rsid w:val="00010B09"/>
    <w:rsid w:val="000A0335"/>
    <w:rsid w:val="00207A0D"/>
    <w:rsid w:val="00215FB9"/>
    <w:rsid w:val="00235C73"/>
    <w:rsid w:val="00475BBD"/>
    <w:rsid w:val="006C5440"/>
    <w:rsid w:val="00775AAD"/>
    <w:rsid w:val="00806686"/>
    <w:rsid w:val="00867E77"/>
    <w:rsid w:val="00932F50"/>
    <w:rsid w:val="00AA35B0"/>
    <w:rsid w:val="00BA64E7"/>
    <w:rsid w:val="00BC635A"/>
    <w:rsid w:val="00C10B4A"/>
    <w:rsid w:val="00C55CB8"/>
    <w:rsid w:val="00C63E2C"/>
    <w:rsid w:val="00E11861"/>
    <w:rsid w:val="00E25073"/>
    <w:rsid w:val="00F82CAB"/>
    <w:rsid w:val="00F86EFE"/>
    <w:rsid w:val="00FA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EBC879-E197-404B-A4F1-4FF279CB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C10B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A1B79"/>
    <w:pPr>
      <w:ind w:left="720"/>
      <w:contextualSpacing/>
    </w:pPr>
  </w:style>
  <w:style w:type="paragraph" w:styleId="a6">
    <w:name w:val="Revision"/>
    <w:hidden/>
    <w:uiPriority w:val="99"/>
    <w:semiHidden/>
    <w:rsid w:val="00867E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מיכל קצוקר</dc:creator>
  <cp:lastModifiedBy>שמעון קרן צבי</cp:lastModifiedBy>
  <cp:revision>3</cp:revision>
  <dcterms:created xsi:type="dcterms:W3CDTF">2019-06-20T05:37:00Z</dcterms:created>
  <dcterms:modified xsi:type="dcterms:W3CDTF">2019-06-20T05:38:00Z</dcterms:modified>
</cp:coreProperties>
</file>