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775E31" w:rsidP="00CF1D94">
      <w:pPr>
        <w:autoSpaceDE w:val="0"/>
        <w:autoSpaceDN w:val="0"/>
        <w:bidi w:val="0"/>
        <w:adjustRightInd w:val="0"/>
        <w:jc w:val="center"/>
        <w:rPr>
          <w:rFonts w:ascii="Tahoma" w:hAnsi="Tahoma" w:cs="Tahoma"/>
          <w:color w:val="0000FF"/>
          <w:sz w:val="20"/>
          <w:szCs w:val="20"/>
          <w:lang w:eastAsia="en-US"/>
        </w:rPr>
      </w:pPr>
      <w:r w:rsidRPr="00775E31">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EC79E8" w:rsidP="002378A7">
      <w:pPr>
        <w:jc w:val="center"/>
        <w:rPr>
          <w:rFonts w:ascii="Tahoma" w:hAnsi="Tahoma" w:cs="Tahoma"/>
          <w:b/>
          <w:bCs/>
          <w:color w:val="FF0000"/>
        </w:rPr>
      </w:pPr>
      <w:r w:rsidRPr="00EC79E8">
        <w:rPr>
          <w:rFonts w:ascii="Tahoma" w:hAnsi="Tahoma" w:cs="Tahoma"/>
          <w:b/>
          <w:bCs/>
          <w:color w:val="0000FF"/>
          <w:u w:val="single"/>
          <w:rtl/>
        </w:rPr>
        <w:t xml:space="preserve">שער הנגב - </w:t>
      </w:r>
      <w:r w:rsidR="002378A7" w:rsidRPr="002378A7">
        <w:rPr>
          <w:rFonts w:ascii="Tahoma" w:hAnsi="Tahoma" w:cs="Tahoma"/>
          <w:b/>
          <w:bCs/>
          <w:color w:val="0000FF"/>
          <w:u w:val="single"/>
          <w:rtl/>
        </w:rPr>
        <w:t>ערב שבת, י"ז באלול תש"ע, 27 באוגוסט 2010</w:t>
      </w:r>
    </w:p>
    <w:p w:rsidR="00A8019C" w:rsidRPr="00B900E8" w:rsidRDefault="00A8019C" w:rsidP="00A8019C">
      <w:pPr>
        <w:jc w:val="center"/>
        <w:rPr>
          <w:rFonts w:ascii="Tahoma" w:hAnsi="Tahoma" w:cs="Tahoma"/>
          <w:b/>
          <w:bCs/>
          <w:color w:val="FF0000"/>
        </w:rPr>
      </w:pPr>
    </w:p>
    <w:p w:rsidR="002378A7" w:rsidRPr="00B900E8" w:rsidRDefault="002378A7" w:rsidP="002378A7">
      <w:pPr>
        <w:rPr>
          <w:rFonts w:ascii="Tahoma" w:hAnsi="Tahoma" w:cs="Tahoma"/>
          <w:b/>
          <w:bCs/>
          <w:color w:val="FF0000"/>
          <w:sz w:val="22"/>
          <w:szCs w:val="22"/>
        </w:rPr>
      </w:pPr>
      <w:r w:rsidRPr="00B900E8">
        <w:rPr>
          <w:rFonts w:ascii="Tahoma" w:hAnsi="Tahoma" w:cs="Tahoma"/>
          <w:b/>
          <w:bCs/>
          <w:color w:val="FF0000"/>
          <w:sz w:val="22"/>
          <w:szCs w:val="22"/>
          <w:rtl/>
        </w:rPr>
        <w:t>שלום לחברות ולחברים,</w:t>
      </w:r>
    </w:p>
    <w:p w:rsidR="002378A7" w:rsidRPr="00B900E8" w:rsidRDefault="002378A7" w:rsidP="002378A7">
      <w:pPr>
        <w:rPr>
          <w:rFonts w:ascii="Tahoma" w:hAnsi="Tahoma" w:cs="Tahoma"/>
          <w:color w:val="000000"/>
          <w:sz w:val="22"/>
          <w:szCs w:val="22"/>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חזרנו</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הטור נח אומנם להנאתו בין אדי החום לצינת המזגן אבל החיים? נו, החיים לא עצרו לרגע.</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ילדים זה שמחה</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מדריכי חברות הילדים והנעורים בישובים עמלים על אירועי סיום החופשה. הפעולות היו כיפיות, אבל בתחום ההתנהגויות הסיכוניות היה משעמם...כן ימעטו.</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צוות בתי הספר מתארגן בקדחתנות לתחילת השנה החדשה, בה נקלוט עשרות רבות של תלמידים חדשים. ביסודי צפויים כ 600 תלמידים ובתיכון כ 1,100.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גני הילדים והמעונות הומים מתינוקות ופעוטים. זו השנה השנייה, שלשמחתנו, איננו מתמודדים עם בעיית תת אכלוס של הגנים, גדל אחוז הילדים מ"תוצרת עצמית".  </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כוחותינו</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תשעה עשר מתנדבי מג"ב - "מתמיד" חדשים הצטרפו אל כוחותינו המסיירים בלילות ומבטיחים בטחון אדם ורכוש. בתחום הפלילים - לא נרשמו לאחרונה אירועים דרמטיים. מצוין.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צה"ל פועל בגזרותינו כאילו אין שיחות שלום ברקע (הוא יודע משהו שאנחנו לא שמענו?!...).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הרעים יורים מעת לעת ולפעמים גם פוגעים. ואנחנו מוציאים מתוק מעז: הקומה השנייה במרכז ההידרו תרפי שספגה פגיעה ישירה, הולכת ומשתפצת להנאתה; תבורך היוזמה הפלסטינית והמימון האוצרי...</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סקופים מקומיים</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שחקניות הכדורעף של התיכון עלו בקיץ לליגה העליונה. עוד הבנות חוגגות את ההיסטוריה, תכינו אתם את הוובוזלות והשלטים.</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 מנכ"ל משרד האוצר ביקר אותנו במסגרת הקמפיין להגברת התעסוקה ולכן שמח להתארח ב"אמדוכס - נגב", שבוחן גידול משמעותי נוסף בהיקף התעסוקה.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 קבוץ ניר עם זכה בחמישה כוכבי יופי בתחרות הארצית לטיפוח מקלטים שיזמו "המועצה לישראל יפה" ופיקוד העורף. שאר הישובים הסתפקו בארבעה כוכבים.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המרכז ההידרותרפי ארח באופן מוצלח קבוצה ראשונה של קייטנת נכדים. בתפריט – משחקי מים וחוץ, תנועה ויצירה, יוגה ותחרויות שחייה.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קבוצת ה"ספיישל אולימפיק" של שער הנגב סיימה את עונת האימונים בטכס מרגש שהתקיים בבריכת הבית ב"הידרו".</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צמיחה 1</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הקיץ החלנו להפעיל את ועדות הקבלה לישובים במתכונת חדשה – האחריות והריכוז של התהליך עברו לטיפול המועצה אבל אנחנו לא מוותרים על תהליכי הקליטה בישובים ועל תיאום הציפיות עימם.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lastRenderedPageBreak/>
        <w:t>הקליטה האנושית מתחברת לבנייה פיזית – בברור חיל הסתיים שיווק קרוב למחצית מההרחבה כולה. באור הנר בונים במרץ את הבתים הראשונים; ברוחמה נבנים בתי קבוצת צב"ר בשטח המחנה.</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צמיחה 2</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פארק התעשיות "ספירים", שכזכור כמעט כל מגרשיו שווקו כבר, ארח השבוע את טכס הנחת אבן הפינה של "גל משטחים". חברי הכנסת אורית נוקד, סגנית שר התעשייה, ושי חרמש ברכו את המתכנסים. "אין אדם מתקנא בבנו, אין רב בתלמידו ואין ראש מועצה במחליפו" אמר שי, שבא בכדי לפרגן על הסנונית שמבשרת על האביב בפארק, שהוא עצמו הקים לפני שנים.</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ומה עוד?</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ציינו עם הדור הצעיר של "קק"ל – איטליה" את תרומת הקהילה לפיתוח האזור. קיפצו בהזדמנות ל"גבעת יאנצ'יק", בצמוד לכביש 34 ותראו את הפיתוח שנעשה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בשת"פ עם המשפחה.</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למה שניים? שלושה ראשי מועצה בסנדלים מצאו את עצמם נהנים מאחר צהריים של מוזיקה ברזילאית במוזיאון המשורר אדונירן ברבוזה בברור חיל, יוזמת צבי חזן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הבלתי נלאה. שני האקסים וזה המכהן הבטיחו זה לזה לעשות כל מאמץ להביא למקום קרון רכבת, לכבוד "הרכבת של 11" של אותו ברבוזה.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בעקבות פעילותנו להנצחת הקרב בחוליקאת, ארחנו קבוצת לוחמי פלמ"ח, שלא היו במקום מזה 62 שנים, כן מאז אותם דמדומי בוקר הרי אסון.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ראש עירית קונגאלב, עיר קטנה בשבדיה, הטריח את מלוא שני המטרים שלו (ושל בת זוגו) לסאונה המזרח תיכונית בכדי לקדם עימנו את תוכנית הלימודים שוחרת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  הסובלנות.  ראו באתר העיר: </w:t>
      </w:r>
      <w:hyperlink r:id="rId8" w:tooltip="blocked::http://www.kungalv.se/Kommunfakta/Nyheter/Svenska-och-utlandska-media-uppmarksammar-avtalsskrivning/" w:history="1">
        <w:r w:rsidRPr="00B900E8">
          <w:rPr>
            <w:rStyle w:val="Hyperlink"/>
            <w:rFonts w:ascii="Tahoma" w:hAnsi="Tahoma" w:cs="Tahoma"/>
            <w:sz w:val="22"/>
            <w:szCs w:val="22"/>
          </w:rPr>
          <w:t>http://www.kungalv.se/Kommunfakta/Nyheter/Svenska-och-utlandska-media-uppmarksammar-avtalsskrivning</w:t>
        </w:r>
        <w:r w:rsidRPr="00B900E8">
          <w:rPr>
            <w:rStyle w:val="Hyperlink"/>
            <w:rFonts w:ascii="Tahoma" w:hAnsi="Tahoma" w:cs="Tahoma"/>
            <w:sz w:val="22"/>
            <w:szCs w:val="22"/>
            <w:rtl/>
          </w:rPr>
          <w:t>/</w:t>
        </w:r>
      </w:hyperlink>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אילוף הסוררת</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בינואר שנה זו החליטה הממשלה על שורת צעדים תקציביים להשלמת בניית מוסדות חינוך ממוגנים. הוחלט אז שבתוך שבועיים יחליט ראש הממשלה על חלוקת העומס הכספי בין משרדי הממשלה. נו, אז החליטו.</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השבוע, באיחור אופנתי ולאחר שהטרחנו עצמנו לועדת החינוך של הכנסת ולאולפני תקשורת שוחרי טוב, הצליחו אנשי משרד ראש הממשלה לשכנע אותו לחתום על המכתב שמחלק את הזכות לבצע את ההחלטה המתקששת בין משרדי החינוך, הביטחון והאוצר.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וכעת, על הפרק בתחום ההתמגנות – גיוס הסכום החסר להשלמת תוכנית בניית הממ"דים; אצלנו מדובר באור הנר. המשך יבוא.</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מה עם "כיפת ברזל"? טוב תודה. האמל"ח בסדר (גמור), הבעיה היא בתורת ההפעלה. בהנחה ששר הביטחון לא יזדרז להרגיע אותנו, אנחנו עומדים להגיש בג"צ שיאתגר את הממשלה הסוררת לנוכח ההבטחה שנתנה לנו ולעם ישראל (בכתובים) במהלך השנתיים האחרונות.  </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tl/>
        </w:rPr>
        <w:t>צמיחה 3</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בתקציבים ממשלתיים ועצמיים אנחנו משקמים את אולם הספורט הישן של קבוץ דורות; בונים מגרשי פטאנק בכפר עזה ונחל עוז ומשדרגים את חברם במועדון "יחדיו"; מרבית מגרשי הכושר הוקמו כבר בחצרות הישובים; מועדון גבים נכנס לשיפוצים; גן הילדים ברוחמה עבר טיפול יסודי; מתקני החצר בבית הספר היסודי מתמקמים בשבועות אלו; בית הספר התיכון מתרומם בקצב משביע רצון.</w:t>
      </w:r>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000000"/>
          <w:sz w:val="22"/>
          <w:szCs w:val="22"/>
          <w:rtl/>
        </w:rPr>
      </w:pPr>
      <w:r w:rsidRPr="00B900E8">
        <w:rPr>
          <w:rFonts w:ascii="Tahoma" w:hAnsi="Tahoma" w:cs="Tahoma"/>
          <w:b/>
          <w:bCs/>
          <w:color w:val="000000"/>
          <w:sz w:val="22"/>
          <w:szCs w:val="22"/>
        </w:rPr>
        <w:lastRenderedPageBreak/>
        <w:t>"</w:t>
      </w:r>
      <w:r w:rsidRPr="00B900E8">
        <w:rPr>
          <w:rFonts w:ascii="Tahoma" w:hAnsi="Tahoma" w:cs="Tahoma"/>
          <w:b/>
          <w:bCs/>
          <w:color w:val="000000"/>
          <w:sz w:val="22"/>
          <w:szCs w:val="22"/>
          <w:rtl/>
        </w:rPr>
        <w:t>אנו יצאנו עם דגלי הרוח את האוויר בשיר לחרוש</w:t>
      </w:r>
      <w:r w:rsidRPr="00B900E8">
        <w:rPr>
          <w:rFonts w:ascii="Tahoma" w:hAnsi="Tahoma" w:cs="Tahoma"/>
          <w:b/>
          <w:bCs/>
          <w:color w:val="000000"/>
          <w:sz w:val="22"/>
          <w:szCs w:val="22"/>
        </w:rPr>
        <w:t>"</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ב"מועדפים" שלכם אתם מוכרחים לשלב את "זמר רשת", יוזמת חבורה צעירה יחסית של ישראלים, שמתעקשים לשמור מכל משמר על נכסי השירה העברית, </w:t>
      </w:r>
    </w:p>
    <w:p w:rsidR="002378A7" w:rsidRPr="00B900E8" w:rsidRDefault="002378A7" w:rsidP="002378A7">
      <w:pPr>
        <w:rPr>
          <w:rFonts w:ascii="Tahoma" w:hAnsi="Tahoma" w:cs="Tahoma"/>
          <w:color w:val="000000"/>
          <w:sz w:val="22"/>
          <w:szCs w:val="22"/>
          <w:rtl/>
        </w:rPr>
      </w:pPr>
      <w:r w:rsidRPr="00B900E8">
        <w:rPr>
          <w:rFonts w:ascii="Tahoma" w:hAnsi="Tahoma" w:cs="Tahoma"/>
          <w:color w:val="000000"/>
          <w:sz w:val="22"/>
          <w:szCs w:val="22"/>
          <w:rtl/>
        </w:rPr>
        <w:t xml:space="preserve">זו המתחדשת להנאתנו במאה ועשרים השנים האחרונות: </w:t>
      </w:r>
      <w:r w:rsidRPr="00B900E8">
        <w:rPr>
          <w:rFonts w:ascii="Tahoma" w:hAnsi="Tahoma" w:cs="Tahoma"/>
          <w:b/>
          <w:bCs/>
          <w:color w:val="000080"/>
          <w:sz w:val="22"/>
          <w:szCs w:val="22"/>
          <w:rtl/>
        </w:rPr>
        <w:t>  </w:t>
      </w:r>
      <w:hyperlink r:id="rId9" w:history="1">
        <w:r w:rsidRPr="00B900E8">
          <w:rPr>
            <w:rStyle w:val="Hyperlink"/>
            <w:rFonts w:ascii="Tahoma" w:hAnsi="Tahoma" w:cs="Tahoma"/>
            <w:b/>
            <w:bCs/>
            <w:sz w:val="22"/>
            <w:szCs w:val="22"/>
          </w:rPr>
          <w:t>http://www.zemereshet.co.il</w:t>
        </w:r>
        <w:r w:rsidRPr="00B900E8">
          <w:rPr>
            <w:rStyle w:val="Hyperlink"/>
            <w:rFonts w:ascii="Tahoma" w:hAnsi="Tahoma" w:cs="Tahoma"/>
            <w:b/>
            <w:bCs/>
            <w:sz w:val="22"/>
            <w:szCs w:val="22"/>
            <w:rtl/>
          </w:rPr>
          <w:t>/</w:t>
        </w:r>
      </w:hyperlink>
    </w:p>
    <w:p w:rsidR="002378A7" w:rsidRPr="00B900E8" w:rsidRDefault="002378A7" w:rsidP="002378A7">
      <w:pPr>
        <w:rPr>
          <w:rFonts w:ascii="Tahoma" w:hAnsi="Tahoma" w:cs="Tahoma"/>
          <w:color w:val="000000"/>
          <w:sz w:val="22"/>
          <w:szCs w:val="22"/>
          <w:rtl/>
        </w:rPr>
      </w:pPr>
    </w:p>
    <w:p w:rsidR="002378A7" w:rsidRPr="00B900E8" w:rsidRDefault="002378A7" w:rsidP="002378A7">
      <w:pPr>
        <w:rPr>
          <w:rFonts w:ascii="Tahoma" w:hAnsi="Tahoma" w:cs="Tahoma"/>
          <w:b/>
          <w:bCs/>
          <w:color w:val="FF0000"/>
          <w:sz w:val="22"/>
          <w:szCs w:val="22"/>
          <w:rtl/>
        </w:rPr>
      </w:pPr>
      <w:r w:rsidRPr="00B900E8">
        <w:rPr>
          <w:rFonts w:ascii="Tahoma" w:hAnsi="Tahoma" w:cs="Tahoma"/>
          <w:b/>
          <w:bCs/>
          <w:color w:val="FF0000"/>
          <w:sz w:val="22"/>
          <w:szCs w:val="22"/>
          <w:rtl/>
        </w:rPr>
        <w:t>שבת שלום, אלון</w:t>
      </w:r>
    </w:p>
    <w:p w:rsidR="007108C9" w:rsidRPr="00B900E8" w:rsidRDefault="007108C9" w:rsidP="00070F3C">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775E31"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93" w:rsidRDefault="00A70793">
      <w:r>
        <w:separator/>
      </w:r>
    </w:p>
  </w:endnote>
  <w:endnote w:type="continuationSeparator" w:id="0">
    <w:p w:rsidR="00A70793" w:rsidRDefault="00A70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93" w:rsidRDefault="00A70793">
      <w:r>
        <w:separator/>
      </w:r>
    </w:p>
  </w:footnote>
  <w:footnote w:type="continuationSeparator" w:id="0">
    <w:p w:rsidR="00A70793" w:rsidRDefault="00A70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378A7"/>
    <w:rsid w:val="00254F0D"/>
    <w:rsid w:val="0025741B"/>
    <w:rsid w:val="00270C30"/>
    <w:rsid w:val="00272AA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08C9"/>
    <w:rsid w:val="007138F6"/>
    <w:rsid w:val="00714FC9"/>
    <w:rsid w:val="00723D63"/>
    <w:rsid w:val="007426E6"/>
    <w:rsid w:val="00745AD5"/>
    <w:rsid w:val="00756245"/>
    <w:rsid w:val="00757A68"/>
    <w:rsid w:val="00760254"/>
    <w:rsid w:val="00775E31"/>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4631"/>
    <w:rsid w:val="00A51A69"/>
    <w:rsid w:val="00A6051A"/>
    <w:rsid w:val="00A70793"/>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00E8"/>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79BA"/>
    <w:rsid w:val="00DF2C76"/>
    <w:rsid w:val="00DF2F71"/>
    <w:rsid w:val="00DF7A24"/>
    <w:rsid w:val="00E13EDD"/>
    <w:rsid w:val="00E16E24"/>
    <w:rsid w:val="00E179FE"/>
    <w:rsid w:val="00E34402"/>
    <w:rsid w:val="00E82EEC"/>
    <w:rsid w:val="00E9601F"/>
    <w:rsid w:val="00EA029A"/>
    <w:rsid w:val="00EC79E8"/>
    <w:rsid w:val="00EE09E5"/>
    <w:rsid w:val="00EE337E"/>
    <w:rsid w:val="00F03C9F"/>
    <w:rsid w:val="00F04D33"/>
    <w:rsid w:val="00F078D8"/>
    <w:rsid w:val="00F32918"/>
    <w:rsid w:val="00F36BD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435636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ngalv.se/Kommunfakta/Nyheter/Svenska-och-utlandska-media-uppmarksammar-avtalsskrivn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zemereshe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756</Words>
  <Characters>4240</Characters>
  <Application>Microsoft Office Word</Application>
  <DocSecurity>0</DocSecurity>
  <Lines>35</Lines>
  <Paragraphs>9</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4987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2010-08-27T15:14:00Z</dcterms:created>
  <dcterms:modified xsi:type="dcterms:W3CDTF">2010-08-27T15:14:00Z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