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952737" w:rsidP="00CF1D94">
      <w:pPr>
        <w:autoSpaceDE w:val="0"/>
        <w:autoSpaceDN w:val="0"/>
        <w:bidi w:val="0"/>
        <w:adjustRightInd w:val="0"/>
        <w:jc w:val="center"/>
        <w:rPr>
          <w:rFonts w:ascii="Tahoma" w:hAnsi="Tahoma" w:cs="Tahoma"/>
          <w:color w:val="0000FF"/>
          <w:sz w:val="20"/>
          <w:szCs w:val="20"/>
          <w:lang w:eastAsia="en-US"/>
        </w:rPr>
      </w:pPr>
      <w:r w:rsidRPr="00952737">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7108C9" w:rsidP="007108C9">
      <w:pPr>
        <w:jc w:val="center"/>
        <w:rPr>
          <w:rFonts w:ascii="Tahoma" w:hAnsi="Tahoma" w:cs="Tahoma"/>
          <w:b/>
          <w:bCs/>
          <w:color w:val="FF0000"/>
        </w:rPr>
      </w:pPr>
      <w:r w:rsidRPr="007108C9">
        <w:rPr>
          <w:rFonts w:ascii="Tahoma" w:hAnsi="Tahoma" w:cs="Tahoma"/>
          <w:b/>
          <w:bCs/>
          <w:color w:val="0000FF"/>
          <w:u w:val="single"/>
          <w:rtl/>
        </w:rPr>
        <w:t xml:space="preserve">שער הנגב - ערב שבת, י"ג בתמוז תש"ע, 25 </w:t>
      </w:r>
      <w:r w:rsidR="00070F3C" w:rsidRPr="00070F3C">
        <w:rPr>
          <w:rFonts w:ascii="Tahoma" w:hAnsi="Tahoma" w:cs="Tahoma"/>
          <w:b/>
          <w:bCs/>
          <w:color w:val="0000FF"/>
          <w:u w:val="single"/>
          <w:rtl/>
        </w:rPr>
        <w:t xml:space="preserve">ביוני </w:t>
      </w:r>
      <w:r w:rsidR="00070F3C">
        <w:rPr>
          <w:rFonts w:ascii="Tahoma" w:hAnsi="Tahoma" w:cs="Tahoma" w:hint="cs"/>
          <w:b/>
          <w:bCs/>
          <w:color w:val="0000FF"/>
          <w:u w:val="single"/>
          <w:rtl/>
        </w:rPr>
        <w:t>2010</w:t>
      </w:r>
      <w:r w:rsidR="002B7634" w:rsidRPr="002B7634">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2B7634" w:rsidRDefault="002B7634" w:rsidP="002B7634">
      <w:pPr>
        <w:rPr>
          <w:rFonts w:cs="David"/>
          <w:b/>
          <w:bCs/>
          <w:rtl/>
        </w:rPr>
      </w:pPr>
    </w:p>
    <w:p w:rsidR="007108C9" w:rsidRPr="007108C9" w:rsidRDefault="007108C9" w:rsidP="007108C9">
      <w:pPr>
        <w:rPr>
          <w:rFonts w:ascii="Tahoma" w:hAnsi="Tahoma" w:cs="Tahoma"/>
          <w:b/>
          <w:bCs/>
          <w:color w:val="000000"/>
          <w:sz w:val="22"/>
          <w:szCs w:val="22"/>
        </w:rPr>
      </w:pPr>
      <w:r w:rsidRPr="007108C9">
        <w:rPr>
          <w:rFonts w:ascii="Tahoma" w:hAnsi="Tahoma" w:cs="Tahoma"/>
          <w:b/>
          <w:bCs/>
          <w:color w:val="000000"/>
          <w:sz w:val="22"/>
          <w:szCs w:val="22"/>
          <w:rtl/>
        </w:rPr>
        <w:t>הנפש הטובה משער הנגב</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 xml:space="preserve">ועדת החקירה הממלכתית לטיפול במפוני "ההתנתקות" כיסחה את מרבית זרועות השלטון. </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שביב של אור בדו"ח כולו הינו הערכת מוקד "מענים", למען סיוע נפשי מיידי, נגיש ודיסקרטי שניתן למפונים. המוקד הוקם  על ידי השירות הפסיכולוגי של שער הנגב ופועל לאורך כל השנים האחרונות, על ידי מטפלים מיומנים ברחבי הארץ. הביקוש הגבוה לטיפול מעיד על חיוניותו ועל הצלחת המטפלים.</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 xml:space="preserve">כמו באירועי המתיחות הביטחונית, ידע צבי פיירמן, מנהל השירות וידעו מנהלי המשנה והמטפלים, לתת מענה מקצועי איכותי לאזרחים שחרב עליהם עולמם. </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אומרת הועדה:"מוקד "מענים" והפעלתו הם חריג בנוף הפעילות הממשלתית המוכרת. הקמתו הייתה צעד יצירתי וחשוב, של פעולה מחוץ למסגרות המקובלות, והוא ראוי לכל שבח."  </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אציין שהעמותה לשירות פסיכולוגי מנוהלת על ידי נציגים מישובי המועצה, בסיוע ובגיבוי של המועצה האזורית.  </w:t>
      </w:r>
    </w:p>
    <w:p w:rsidR="007108C9" w:rsidRPr="007108C9" w:rsidRDefault="007108C9" w:rsidP="007108C9">
      <w:pPr>
        <w:rPr>
          <w:rFonts w:ascii="Tahoma" w:hAnsi="Tahoma" w:cs="Tahoma"/>
          <w:color w:val="000000"/>
          <w:sz w:val="22"/>
          <w:szCs w:val="22"/>
          <w:rtl/>
        </w:rPr>
      </w:pPr>
    </w:p>
    <w:p w:rsidR="007108C9" w:rsidRPr="007108C9" w:rsidRDefault="007108C9" w:rsidP="007108C9">
      <w:pPr>
        <w:rPr>
          <w:rFonts w:ascii="Tahoma" w:hAnsi="Tahoma" w:cs="Tahoma"/>
          <w:b/>
          <w:bCs/>
          <w:color w:val="000000"/>
          <w:sz w:val="22"/>
          <w:szCs w:val="22"/>
          <w:rtl/>
        </w:rPr>
      </w:pPr>
      <w:r w:rsidRPr="007108C9">
        <w:rPr>
          <w:rFonts w:ascii="Tahoma" w:hAnsi="Tahoma" w:cs="Tahoma"/>
          <w:b/>
          <w:bCs/>
          <w:color w:val="000000"/>
          <w:sz w:val="22"/>
          <w:szCs w:val="22"/>
          <w:rtl/>
        </w:rPr>
        <w:t>שיקום כבודנו</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אתר בארות יצחק הישנה, בין נחל עוז לעלומים, בו עומד (בקושי) על תילו מגדל המים של הקבוץ הדתי, עומד לעבור שיקום פיזי ותוכני, במטרה להצטרף לאתרי המורשת של האזור.</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 xml:space="preserve">חברי הקבוץ הדתי נלחמו בקיץ תש"ח בקרבות </w:t>
      </w:r>
      <w:r w:rsidR="00CE0BC1" w:rsidRPr="007108C9">
        <w:rPr>
          <w:rFonts w:ascii="Tahoma" w:hAnsi="Tahoma" w:cs="Tahoma" w:hint="cs"/>
          <w:color w:val="000000"/>
          <w:sz w:val="22"/>
          <w:szCs w:val="22"/>
          <w:rtl/>
        </w:rPr>
        <w:t>הרואיים</w:t>
      </w:r>
      <w:r w:rsidRPr="007108C9">
        <w:rPr>
          <w:rFonts w:ascii="Tahoma" w:hAnsi="Tahoma" w:cs="Tahoma"/>
          <w:color w:val="000000"/>
          <w:sz w:val="22"/>
          <w:szCs w:val="22"/>
          <w:rtl/>
        </w:rPr>
        <w:t xml:space="preserve"> לצד חיילי הפלמ"ח, מחטיבת הנגב. הם הצליחו במשימת הדיפת הפולש המצרי ובסיום המלחמה הקימו את </w:t>
      </w:r>
      <w:r w:rsidR="00CE0BC1" w:rsidRPr="007108C9">
        <w:rPr>
          <w:rFonts w:ascii="Tahoma" w:hAnsi="Tahoma" w:cs="Tahoma" w:hint="cs"/>
          <w:color w:val="000000"/>
          <w:sz w:val="22"/>
          <w:szCs w:val="22"/>
          <w:rtl/>
        </w:rPr>
        <w:t>יישוב</w:t>
      </w:r>
      <w:r w:rsidR="00CE0BC1" w:rsidRPr="007108C9">
        <w:rPr>
          <w:rFonts w:ascii="Tahoma" w:hAnsi="Tahoma" w:cs="Tahoma" w:hint="eastAsia"/>
          <w:color w:val="000000"/>
          <w:sz w:val="22"/>
          <w:szCs w:val="22"/>
          <w:rtl/>
        </w:rPr>
        <w:t>ם</w:t>
      </w:r>
      <w:r w:rsidRPr="007108C9">
        <w:rPr>
          <w:rFonts w:ascii="Tahoma" w:hAnsi="Tahoma" w:cs="Tahoma"/>
          <w:color w:val="000000"/>
          <w:sz w:val="22"/>
          <w:szCs w:val="22"/>
          <w:rtl/>
        </w:rPr>
        <w:t xml:space="preserve"> במרכז הארץ.</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קשה להבין את זה היום, אבל הנהגת הישוב בראשות בן גוריון לא העניקה ללוחמים עזי הנפש את "אות הקוממיות", מכיוון שלא חזרו והקימו את הישוב שנהרס בלחימה העזה.</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בהובלת מזכירות תנועת הקבוץ הדתי, ובהשתתפות בני הדור השני של בארות יצחק, הקבוצים עלומים ונחל עוז, המועצה האזורית שער הנגב וגופים נוספים אנחנו מקווים להשיב מעט מן הכבוד המגיע לאנשי התורה והעבודה שנצחו בקרב על אדמת ביתם והפסידו במלחמה על שמם.</w:t>
      </w:r>
    </w:p>
    <w:p w:rsidR="007108C9" w:rsidRPr="007108C9" w:rsidRDefault="007108C9" w:rsidP="007108C9">
      <w:pPr>
        <w:rPr>
          <w:rFonts w:ascii="Tahoma" w:hAnsi="Tahoma" w:cs="Tahoma"/>
          <w:color w:val="000000"/>
          <w:sz w:val="22"/>
          <w:szCs w:val="22"/>
          <w:rtl/>
        </w:rPr>
      </w:pPr>
    </w:p>
    <w:p w:rsidR="007108C9" w:rsidRPr="007108C9" w:rsidRDefault="007108C9" w:rsidP="007108C9">
      <w:pPr>
        <w:rPr>
          <w:rFonts w:ascii="Tahoma" w:hAnsi="Tahoma" w:cs="Tahoma"/>
          <w:b/>
          <w:bCs/>
          <w:color w:val="000000"/>
          <w:sz w:val="22"/>
          <w:szCs w:val="22"/>
          <w:rtl/>
        </w:rPr>
      </w:pPr>
      <w:r w:rsidRPr="007108C9">
        <w:rPr>
          <w:rFonts w:ascii="Tahoma" w:hAnsi="Tahoma" w:cs="Tahoma"/>
          <w:b/>
          <w:bCs/>
          <w:color w:val="000000"/>
          <w:sz w:val="22"/>
          <w:szCs w:val="22"/>
          <w:rtl/>
        </w:rPr>
        <w:t>סיפור, סיפור</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מיכל וסר, מורה ותיקה בשער הנגב, יזמה קבוצת לימוד בהיסטוריה, שעושה שני דברים: האחד ששכחנו כבר על קיומו והאחד שלא הכרנו, עד כה.</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 xml:space="preserve">מצד אחד, הקבוצה עושה עבודות גמר, המבוססות על חקר אירועים היסטוריים, רובם מתחום הלימוד של מלחמת העולם השנייה והאנטישמיות. </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במקביל, הקבוצה לומדת את ההיסטוריה של הארץ שלנו – המאבקים טרום הקמת המדינה, המלחמות שמלוות אותנו ויחסי הישראלים והערבים – מתוך הגישה הנרטיבית, זו המכירה בכך שכל קבוצה לאומית מספרת את תולדות הארץ באופן שונה. ספר הלימוד שלהם מספר בעמוד אחד את ההיסטוריה, על פי התפיסה היהודית הציונית ובעמוד השכן – את אותם אירועים על פי הגישה הערבית הפלסטינית.  </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 xml:space="preserve">בערב שקיימה הקבוצה, הציגו התלמידים (רובן תלמידות) את עבודות החקר שלהם ואת יחסם (החיובי מאד, בלי קשר להשקפה הפוליטית של התלמידים) </w:t>
      </w:r>
      <w:r w:rsidRPr="007108C9">
        <w:rPr>
          <w:rFonts w:ascii="Tahoma" w:hAnsi="Tahoma" w:cs="Tahoma"/>
          <w:color w:val="000000"/>
          <w:sz w:val="22"/>
          <w:szCs w:val="22"/>
          <w:rtl/>
        </w:rPr>
        <w:lastRenderedPageBreak/>
        <w:t>לשיטת הלימוד הנרטיבית. המתעניינים ביניכם יוכלו לעקוב בטור זה אחר התקדמות התוכנית, שכן, אנחנו מתכננים מפגש עם מורים ותלמידים פלסטינים ושוודים שמתנסים אף הם בשיטת ההוראה הזו.</w:t>
      </w:r>
    </w:p>
    <w:p w:rsidR="007108C9" w:rsidRPr="007108C9" w:rsidRDefault="007108C9" w:rsidP="007108C9">
      <w:pPr>
        <w:rPr>
          <w:rFonts w:ascii="Tahoma" w:hAnsi="Tahoma" w:cs="Tahoma"/>
          <w:color w:val="000000"/>
          <w:sz w:val="22"/>
          <w:szCs w:val="22"/>
          <w:rtl/>
        </w:rPr>
      </w:pPr>
    </w:p>
    <w:p w:rsidR="007108C9" w:rsidRPr="007108C9" w:rsidRDefault="007108C9" w:rsidP="007108C9">
      <w:pPr>
        <w:rPr>
          <w:rFonts w:ascii="Tahoma" w:hAnsi="Tahoma" w:cs="Tahoma"/>
          <w:b/>
          <w:bCs/>
          <w:color w:val="000000"/>
          <w:sz w:val="22"/>
          <w:szCs w:val="22"/>
          <w:rtl/>
        </w:rPr>
      </w:pPr>
      <w:r w:rsidRPr="007108C9">
        <w:rPr>
          <w:rFonts w:ascii="Tahoma" w:hAnsi="Tahoma" w:cs="Tahoma"/>
          <w:b/>
          <w:bCs/>
          <w:color w:val="000000"/>
          <w:sz w:val="22"/>
          <w:szCs w:val="22"/>
          <w:rtl/>
        </w:rPr>
        <w:t>מתגייסים לגלעד     </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בשבוע הקרוב יוצא המסע חוצה ישראל למען שחרור גלעד שליט. במהלכו יתקיים באזור שלנו קונצרט מיוחד במינו של התזמורת הפילהרמונית בניצוח זובין מהטה ובהשתתפות שלמה ארצי. הקונצרט מתקיים תחת הקריאה לשפר את תנאי השבי של גלעד, אין בו תביעה כלפי ממשלת ישראל אלא כלפי החמאס ושוביו של החייל.</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המסר הנכון הזה הביא אותנו לקחת חלק משמעותי בארגון הקונצרט בתנאים לא שגרתיים: בשדה, ליד הגבול, ללא כסאות ישיבה. נראה שמיקום הקונצרט לא יהיה – כפי שפורסם עד כה – ליד כפר עזה אלא בנקודה אחרת במועצה.</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הפקת האירוע מתבצעת על ידי חזי בוצר ממחלקת התרבות במתנ"ס, בשיתוף גורמים רבים. ההפקה זקוקה למתנדבים רבים (לתפקידי סדרנות, לוגיסטיקה וליווי אח"מים). המעוניינים ידברו עם אורלי: 054-6755124 .</w:t>
      </w:r>
    </w:p>
    <w:p w:rsidR="007108C9" w:rsidRPr="007108C9" w:rsidRDefault="007108C9" w:rsidP="007108C9">
      <w:pPr>
        <w:rPr>
          <w:rFonts w:ascii="Tahoma" w:hAnsi="Tahoma" w:cs="Tahoma"/>
          <w:color w:val="000000"/>
          <w:sz w:val="22"/>
          <w:szCs w:val="22"/>
          <w:rtl/>
        </w:rPr>
      </w:pPr>
    </w:p>
    <w:p w:rsidR="007108C9" w:rsidRPr="007108C9" w:rsidRDefault="007108C9" w:rsidP="007108C9">
      <w:pPr>
        <w:rPr>
          <w:rFonts w:ascii="Tahoma" w:hAnsi="Tahoma" w:cs="Tahoma"/>
          <w:b/>
          <w:bCs/>
          <w:color w:val="000000"/>
          <w:sz w:val="22"/>
          <w:szCs w:val="22"/>
          <w:rtl/>
        </w:rPr>
      </w:pPr>
      <w:r w:rsidRPr="007108C9">
        <w:rPr>
          <w:rFonts w:ascii="Tahoma" w:hAnsi="Tahoma" w:cs="Tahoma"/>
          <w:b/>
          <w:bCs/>
          <w:color w:val="000000"/>
          <w:sz w:val="22"/>
          <w:szCs w:val="22"/>
          <w:rtl/>
        </w:rPr>
        <w:t>דרום אמריקה זה כאן</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זה שיש מונדיאל, אתם יודעים...</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זה שהערב, "פסטיבל דרום אמריקה" מתמקד בבריכה הססגונית של ברור חיל ומחר (שבת) אחרי הצהריים באור הנר, אנחנו מזכירים לכם.</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מה שלא ידוע לכם, זה שביום חמישי, 1.7, החל מ 17.00 בפארק אשכול – מתקיים הפנינג ובמרכזו: "מלחמת בשרים" בין ארגנטינה (אסאדו) לברזיל (שוראסקריה)</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וביום שישי, 2.7, בקבוץ צאלים מופעי מוסיקה עולמית והקרנת רבע הגמר.</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 xml:space="preserve">פרטים מלאים ב: </w:t>
      </w:r>
      <w:hyperlink r:id="rId8" w:history="1">
        <w:r w:rsidRPr="007108C9">
          <w:rPr>
            <w:rStyle w:val="Hyperlink"/>
            <w:rFonts w:ascii="Tahoma" w:hAnsi="Tahoma" w:cs="Tahoma"/>
            <w:sz w:val="22"/>
            <w:szCs w:val="22"/>
          </w:rPr>
          <w:t>www.habsor.co.il/info/odot/odot-001.htm</w:t>
        </w:r>
      </w:hyperlink>
    </w:p>
    <w:p w:rsidR="007108C9" w:rsidRPr="007108C9" w:rsidRDefault="007108C9" w:rsidP="007108C9">
      <w:pPr>
        <w:rPr>
          <w:rFonts w:ascii="Tahoma" w:hAnsi="Tahoma" w:cs="Tahoma"/>
          <w:color w:val="000000"/>
          <w:sz w:val="22"/>
          <w:szCs w:val="22"/>
          <w:rtl/>
        </w:rPr>
      </w:pPr>
    </w:p>
    <w:p w:rsidR="007108C9" w:rsidRPr="007108C9" w:rsidRDefault="007108C9" w:rsidP="007108C9">
      <w:pPr>
        <w:rPr>
          <w:rFonts w:ascii="Tahoma" w:hAnsi="Tahoma" w:cs="Tahoma"/>
          <w:b/>
          <w:bCs/>
          <w:color w:val="000000"/>
          <w:sz w:val="22"/>
          <w:szCs w:val="22"/>
          <w:rtl/>
        </w:rPr>
      </w:pPr>
      <w:r w:rsidRPr="007108C9">
        <w:rPr>
          <w:rFonts w:ascii="Tahoma" w:hAnsi="Tahoma" w:cs="Tahoma"/>
          <w:b/>
          <w:bCs/>
          <w:color w:val="000000"/>
          <w:sz w:val="22"/>
          <w:szCs w:val="22"/>
          <w:rtl/>
        </w:rPr>
        <w:t>המוזות רועמות</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בראשית השבוע התכנסנו באולם התרבות של אור הנר לקונצרט הסיום האיכותי של האולפן למוסיקה. בין השאר, נפרדנו מבוגרי י</w:t>
      </w:r>
      <w:r w:rsidR="00080F66">
        <w:rPr>
          <w:rFonts w:ascii="Tahoma" w:hAnsi="Tahoma" w:cs="Tahoma" w:hint="cs"/>
          <w:color w:val="000000"/>
          <w:sz w:val="22"/>
          <w:szCs w:val="22"/>
          <w:rtl/>
        </w:rPr>
        <w:t>"</w:t>
      </w:r>
      <w:r w:rsidRPr="007108C9">
        <w:rPr>
          <w:rFonts w:ascii="Tahoma" w:hAnsi="Tahoma" w:cs="Tahoma"/>
          <w:color w:val="000000"/>
          <w:sz w:val="22"/>
          <w:szCs w:val="22"/>
          <w:rtl/>
        </w:rPr>
        <w:t>ב, שמצטיינים בענפי המוסיקה השונים ומוכיחים זאת, שוב ושוב בציוני הבגרות שלהם, הם ציוני האיכות שלנו.</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השבועות האחרונים עמוסים בקונצרטים זוטא, בהם באים לביטוי כל התלמידים וכל ההרכבים של האולפן. אלו ימים של חשיפת מספר גדול של תלמידים שזוכים להכרות עם כלי נגינה, במהלך יום הלימודים, במסגרת תוכנית הדגל של החינוך, המתנ"ס והאולפן - "בית ספר מנגן": כל תלמידי שכבות ג', ד', ז' – כ 400 תלמידים – נחשפו לעולם הצלילים, השירה והנגינה, למדו את שפת התווים, השתלטו על כלי נשיפה, מיתר, קשת או הקשה ו"על הדרך" למדו עוד פרקים בסודות שיתוף הפעולה ויתרונות המשמעת הקבוצתית.     </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קונצרט הסיום נקרא על שמו של עידן גפן, תלמיד האולפן המצטיין, שנפטר לפני פחות משנה. המשפחה תומכת בקיום המופע, בתוכנית ההוראה השוטפת ובעידוד היצירה הקלאסית והמקורית.</w:t>
      </w:r>
    </w:p>
    <w:p w:rsidR="007108C9" w:rsidRPr="007108C9" w:rsidRDefault="007108C9" w:rsidP="007108C9">
      <w:pPr>
        <w:rPr>
          <w:rFonts w:ascii="Tahoma" w:hAnsi="Tahoma" w:cs="Tahoma"/>
          <w:color w:val="000000"/>
          <w:sz w:val="22"/>
          <w:szCs w:val="22"/>
          <w:rtl/>
        </w:rPr>
      </w:pPr>
      <w:r w:rsidRPr="007108C9">
        <w:rPr>
          <w:rFonts w:ascii="Tahoma" w:hAnsi="Tahoma" w:cs="Tahoma"/>
          <w:color w:val="000000"/>
          <w:sz w:val="22"/>
          <w:szCs w:val="22"/>
          <w:rtl/>
        </w:rPr>
        <w:t>עינת, אחותו של עידן ונועם שלמה, המורה שלו, נגנו ושרו את השיר שכתבה עינת:</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 xml:space="preserve">ויש אבק על הפסנתר </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ונר בוער, אתה חסר</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ומחייך אלי מתוך קיר לבן</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מסך עשן וחדר ריק.</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והמגדל מתפרק</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lastRenderedPageBreak/>
        <w:t>ואחרי הכל, הכל אחרת</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 xml:space="preserve">בלעדיך.      </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והזמן חולף לו לידי</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אתה אינך, אתה איתי</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וים גועש תולש אותי,</w:t>
      </w:r>
    </w:p>
    <w:p w:rsidR="007108C9" w:rsidRPr="007108C9" w:rsidRDefault="007108C9" w:rsidP="007108C9">
      <w:pPr>
        <w:rPr>
          <w:rFonts w:cs="Guttman Yad"/>
          <w:b/>
          <w:bCs/>
          <w:color w:val="000000"/>
          <w:sz w:val="22"/>
          <w:szCs w:val="22"/>
          <w:rtl/>
        </w:rPr>
      </w:pPr>
      <w:r w:rsidRPr="007108C9">
        <w:rPr>
          <w:rFonts w:cs="Guttman Yad" w:hint="cs"/>
          <w:b/>
          <w:bCs/>
          <w:color w:val="000000"/>
          <w:sz w:val="22"/>
          <w:szCs w:val="22"/>
          <w:rtl/>
        </w:rPr>
        <w:t>מיתר קרוע שכמותי.</w:t>
      </w:r>
    </w:p>
    <w:p w:rsidR="0025741B" w:rsidRDefault="0025741B" w:rsidP="0025741B">
      <w:pPr>
        <w:rPr>
          <w:rFonts w:cs="David"/>
          <w:color w:val="000000"/>
          <w:rtl/>
        </w:rPr>
      </w:pPr>
    </w:p>
    <w:p w:rsidR="002F7DB9" w:rsidRDefault="002F7DB9" w:rsidP="002F7DB9">
      <w:pPr>
        <w:rPr>
          <w:rFonts w:cs="David"/>
          <w:b/>
          <w:bCs/>
          <w:color w:val="000000"/>
          <w:rtl/>
        </w:rPr>
      </w:pPr>
    </w:p>
    <w:p w:rsidR="00DF7A24" w:rsidRDefault="00DF7A24" w:rsidP="00070F3C">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7108C9" w:rsidRDefault="007108C9" w:rsidP="00070F3C">
      <w:pPr>
        <w:rPr>
          <w:rFonts w:ascii="Tahoma" w:hAnsi="Tahoma" w:cs="Tahoma"/>
          <w:b/>
          <w:bCs/>
          <w:color w:val="FF0000"/>
          <w:sz w:val="22"/>
          <w:szCs w:val="22"/>
          <w:rtl/>
        </w:rPr>
      </w:pPr>
    </w:p>
    <w:p w:rsidR="007108C9" w:rsidRDefault="007108C9" w:rsidP="007108C9">
      <w:pPr>
        <w:rPr>
          <w:rFonts w:ascii="Arial" w:hAnsi="Arial" w:cs="Arial"/>
          <w:sz w:val="20"/>
          <w:szCs w:val="20"/>
        </w:rPr>
      </w:pPr>
    </w:p>
    <w:p w:rsidR="007108C9" w:rsidRDefault="007108C9" w:rsidP="007108C9">
      <w:pPr>
        <w:rPr>
          <w:rFonts w:ascii="Arial" w:hAnsi="Arial" w:cs="Arial"/>
          <w:sz w:val="20"/>
          <w:szCs w:val="20"/>
          <w:rtl/>
        </w:rPr>
      </w:pPr>
      <w:r>
        <w:rPr>
          <w:rFonts w:ascii="Arial" w:hAnsi="Arial" w:cs="Arial"/>
          <w:sz w:val="20"/>
          <w:szCs w:val="20"/>
          <w:rtl/>
        </w:rPr>
        <w:t>אם אינך מעונין/ת להמשיך ולקבל את הטור, ניתן לבקש זאת במייל חוזר.</w:t>
      </w:r>
    </w:p>
    <w:p w:rsidR="007108C9" w:rsidRPr="005D761E" w:rsidRDefault="007108C9" w:rsidP="00070F3C">
      <w:pPr>
        <w:rPr>
          <w:rFonts w:ascii="Tahoma" w:hAnsi="Tahoma" w:cs="Tahoma"/>
          <w:b/>
          <w:bCs/>
          <w:color w:val="FF0000"/>
          <w:sz w:val="22"/>
          <w:szCs w:val="22"/>
          <w:rtl/>
        </w:rPr>
      </w:pP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952737" w:rsidP="004F6655">
      <w:pPr>
        <w:jc w:val="center"/>
        <w:rPr>
          <w:rFonts w:ascii="Tahoma" w:hAnsi="Tahoma" w:cs="Tahoma"/>
          <w:sz w:val="22"/>
          <w:szCs w:val="22"/>
          <w:lang w:eastAsia="en-US"/>
        </w:rPr>
      </w:pPr>
      <w:hyperlink r:id="rId9"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C32" w:rsidRDefault="00431C32">
      <w:r>
        <w:separator/>
      </w:r>
    </w:p>
  </w:endnote>
  <w:endnote w:type="continuationSeparator" w:id="0">
    <w:p w:rsidR="00431C32" w:rsidRDefault="00431C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Guttman Yad">
    <w:panose1 w:val="02010401010101010101"/>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C32" w:rsidRDefault="00431C32">
      <w:r>
        <w:separator/>
      </w:r>
    </w:p>
  </w:footnote>
  <w:footnote w:type="continuationSeparator" w:id="0">
    <w:p w:rsidR="00431C32" w:rsidRDefault="00431C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0F3C"/>
    <w:rsid w:val="00072A2E"/>
    <w:rsid w:val="00077994"/>
    <w:rsid w:val="00080F66"/>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5741B"/>
    <w:rsid w:val="00270C30"/>
    <w:rsid w:val="00272AA2"/>
    <w:rsid w:val="002A2C41"/>
    <w:rsid w:val="002B51D3"/>
    <w:rsid w:val="002B7634"/>
    <w:rsid w:val="002D7F52"/>
    <w:rsid w:val="002E4A25"/>
    <w:rsid w:val="002E4D76"/>
    <w:rsid w:val="002F7DB9"/>
    <w:rsid w:val="00313148"/>
    <w:rsid w:val="003134BF"/>
    <w:rsid w:val="00314E72"/>
    <w:rsid w:val="00315609"/>
    <w:rsid w:val="003419C3"/>
    <w:rsid w:val="00353A1A"/>
    <w:rsid w:val="003549C9"/>
    <w:rsid w:val="00364608"/>
    <w:rsid w:val="00371BFC"/>
    <w:rsid w:val="00380E31"/>
    <w:rsid w:val="00386815"/>
    <w:rsid w:val="003B003F"/>
    <w:rsid w:val="003E10EA"/>
    <w:rsid w:val="003E31DF"/>
    <w:rsid w:val="00430433"/>
    <w:rsid w:val="00431C32"/>
    <w:rsid w:val="004339F5"/>
    <w:rsid w:val="00436BC5"/>
    <w:rsid w:val="004412F1"/>
    <w:rsid w:val="004516EF"/>
    <w:rsid w:val="0047582F"/>
    <w:rsid w:val="00476818"/>
    <w:rsid w:val="00483FE4"/>
    <w:rsid w:val="00486E2F"/>
    <w:rsid w:val="0049146A"/>
    <w:rsid w:val="004B245F"/>
    <w:rsid w:val="004E4590"/>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14AE5"/>
    <w:rsid w:val="00620F54"/>
    <w:rsid w:val="006253B5"/>
    <w:rsid w:val="00625FBB"/>
    <w:rsid w:val="006514B3"/>
    <w:rsid w:val="006534AD"/>
    <w:rsid w:val="00654C23"/>
    <w:rsid w:val="006604A1"/>
    <w:rsid w:val="006C3B06"/>
    <w:rsid w:val="006D764F"/>
    <w:rsid w:val="006E360F"/>
    <w:rsid w:val="006F5740"/>
    <w:rsid w:val="007108C9"/>
    <w:rsid w:val="007138F6"/>
    <w:rsid w:val="00714FC9"/>
    <w:rsid w:val="00723D63"/>
    <w:rsid w:val="007426E6"/>
    <w:rsid w:val="00745AD5"/>
    <w:rsid w:val="00756245"/>
    <w:rsid w:val="00757A68"/>
    <w:rsid w:val="00760254"/>
    <w:rsid w:val="007772F1"/>
    <w:rsid w:val="007913E4"/>
    <w:rsid w:val="007C5919"/>
    <w:rsid w:val="007D0843"/>
    <w:rsid w:val="007D1EC1"/>
    <w:rsid w:val="007D4090"/>
    <w:rsid w:val="007E4040"/>
    <w:rsid w:val="007F3548"/>
    <w:rsid w:val="007F4934"/>
    <w:rsid w:val="00802286"/>
    <w:rsid w:val="0080378A"/>
    <w:rsid w:val="0081586D"/>
    <w:rsid w:val="00817D1E"/>
    <w:rsid w:val="00831CF4"/>
    <w:rsid w:val="00832B39"/>
    <w:rsid w:val="008379AE"/>
    <w:rsid w:val="008408D4"/>
    <w:rsid w:val="008443A0"/>
    <w:rsid w:val="008567B3"/>
    <w:rsid w:val="0088103A"/>
    <w:rsid w:val="008B44B1"/>
    <w:rsid w:val="008C2223"/>
    <w:rsid w:val="008C7917"/>
    <w:rsid w:val="008D1428"/>
    <w:rsid w:val="008F75E2"/>
    <w:rsid w:val="00903900"/>
    <w:rsid w:val="00935138"/>
    <w:rsid w:val="00935F7C"/>
    <w:rsid w:val="00942457"/>
    <w:rsid w:val="00952737"/>
    <w:rsid w:val="009601B3"/>
    <w:rsid w:val="00964676"/>
    <w:rsid w:val="00981BF9"/>
    <w:rsid w:val="009A4232"/>
    <w:rsid w:val="009A4B4B"/>
    <w:rsid w:val="009C790E"/>
    <w:rsid w:val="009F0529"/>
    <w:rsid w:val="009F133C"/>
    <w:rsid w:val="009F257A"/>
    <w:rsid w:val="009F4A59"/>
    <w:rsid w:val="00A0512A"/>
    <w:rsid w:val="00A11D30"/>
    <w:rsid w:val="00A44631"/>
    <w:rsid w:val="00A51A69"/>
    <w:rsid w:val="00A6051A"/>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BB4213"/>
    <w:rsid w:val="00C207C2"/>
    <w:rsid w:val="00C31D9C"/>
    <w:rsid w:val="00C33F2C"/>
    <w:rsid w:val="00C41F72"/>
    <w:rsid w:val="00C77E03"/>
    <w:rsid w:val="00C91020"/>
    <w:rsid w:val="00C9335D"/>
    <w:rsid w:val="00C93456"/>
    <w:rsid w:val="00CC1928"/>
    <w:rsid w:val="00CE0BC1"/>
    <w:rsid w:val="00CF1D94"/>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179FE"/>
    <w:rsid w:val="00E34402"/>
    <w:rsid w:val="00E82EEC"/>
    <w:rsid w:val="00E9601F"/>
    <w:rsid w:val="00EE09E5"/>
    <w:rsid w:val="00EE337E"/>
    <w:rsid w:val="00F03C9F"/>
    <w:rsid w:val="00F04D33"/>
    <w:rsid w:val="00F078D8"/>
    <w:rsid w:val="00F32918"/>
    <w:rsid w:val="00F36BD0"/>
    <w:rsid w:val="00F5249B"/>
    <w:rsid w:val="00F526E2"/>
    <w:rsid w:val="00F527F6"/>
    <w:rsid w:val="00F53947"/>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bsor.co.il/info/odot/odot-001.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812</Words>
  <Characters>4216</Characters>
  <Application>Microsoft Office Word</Application>
  <DocSecurity>0</DocSecurity>
  <Lines>35</Lines>
  <Paragraphs>10</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5018</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2010-06-25T17:41:00Z</dcterms:created>
  <dcterms:modified xsi:type="dcterms:W3CDTF">2010-06-25T17:41:00Z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